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Answering: What is your approach to e</w:t>
      </w:r>
      <w:r>
        <w:rPr>
          <w:rtl w:val="0"/>
        </w:rPr>
        <w:t xml:space="preserve">quality, </w:t>
      </w:r>
      <w:r>
        <w:rPr>
          <w:rtl w:val="0"/>
        </w:rPr>
        <w:t>d</w:t>
      </w:r>
      <w:r>
        <w:rPr>
          <w:rtl w:val="0"/>
        </w:rPr>
        <w:t xml:space="preserve">iversity and </w:t>
      </w:r>
      <w:r>
        <w:rPr>
          <w:rtl w:val="0"/>
        </w:rPr>
        <w:t>i</w:t>
      </w:r>
      <w:r>
        <w:rPr>
          <w:rtl w:val="0"/>
          <w:lang w:val="it-IT"/>
        </w:rPr>
        <w:t>nclusion</w:t>
      </w:r>
      <w:r>
        <w:rPr>
          <w:rtl w:val="0"/>
        </w:rPr>
        <w:t>?</w:t>
      </w:r>
    </w:p>
    <w:p>
      <w:pPr>
        <w:pStyle w:val="Body"/>
        <w:bidi w:val="0"/>
      </w:pPr>
    </w:p>
    <w:p>
      <w:pPr>
        <w:pStyle w:val="Body"/>
        <w:bidi w:val="0"/>
        <w:spacing w:after="160" w:line="259" w:lineRule="auto"/>
        <w:ind w:left="0" w:right="0" w:firstLine="0"/>
        <w:jc w:val="left"/>
        <w:rPr>
          <w:rFonts w:ascii="Arial" w:cs="Arial" w:hAnsi="Arial" w:eastAsia="Arial"/>
          <w:u w:color="000000"/>
          <w:rtl w:val="0"/>
          <w:lang w:val="en-US"/>
        </w:rPr>
      </w:pPr>
      <w:r>
        <w:rPr>
          <w:rFonts w:ascii="Arial" w:hAnsi="Arial"/>
          <w:u w:color="000000"/>
          <w:rtl w:val="0"/>
          <w:lang w:val="en-US"/>
        </w:rPr>
        <w:t xml:space="preserve">Culture organisations must ensure that some workers are not treated less </w:t>
      </w:r>
      <w:r>
        <w:rPr>
          <w:rFonts w:ascii="Arial" w:hAnsi="Arial"/>
          <w:u w:color="000000"/>
          <w:rtl w:val="0"/>
          <w:lang w:val="en-US"/>
        </w:rPr>
        <w:t>favourably</w:t>
      </w:r>
      <w:r>
        <w:rPr>
          <w:rFonts w:ascii="Arial" w:hAnsi="Arial"/>
          <w:u w:color="000000"/>
          <w:rtl w:val="0"/>
          <w:lang w:val="en-US"/>
        </w:rPr>
        <w:t xml:space="preserve"> than others.</w:t>
      </w:r>
    </w:p>
    <w:p>
      <w:pPr>
        <w:pStyle w:val="Body"/>
        <w:bidi w:val="0"/>
        <w:spacing w:after="160" w:line="259" w:lineRule="auto"/>
        <w:ind w:left="0" w:right="0" w:firstLine="0"/>
        <w:jc w:val="left"/>
        <w:rPr>
          <w:rFonts w:ascii="Arial" w:cs="Arial" w:hAnsi="Arial" w:eastAsia="Arial"/>
          <w:u w:color="000000"/>
          <w:rtl w:val="0"/>
          <w:lang w:val="en-US"/>
        </w:rPr>
      </w:pPr>
      <w:r>
        <w:rPr>
          <w:rFonts w:ascii="Arial" w:hAnsi="Arial"/>
          <w:u w:color="000000"/>
          <w:rtl w:val="0"/>
          <w:lang w:val="en-US"/>
        </w:rPr>
        <w:t xml:space="preserve">In terms of Scottish Government objectives, this area links closely to </w:t>
      </w:r>
      <w:r>
        <w:rPr>
          <w:rFonts w:ascii="Arial" w:hAnsi="Arial"/>
          <w:u w:color="000000"/>
          <w:rtl w:val="0"/>
          <w:lang w:val="en-US"/>
        </w:rPr>
        <w:t>f</w:t>
      </w:r>
      <w:r>
        <w:rPr>
          <w:rFonts w:ascii="Arial" w:hAnsi="Arial"/>
          <w:u w:color="000000"/>
          <w:rtl w:val="0"/>
          <w:lang w:val="en-US"/>
        </w:rPr>
        <w:t xml:space="preserve">air </w:t>
      </w:r>
      <w:r>
        <w:rPr>
          <w:rFonts w:ascii="Arial" w:hAnsi="Arial"/>
          <w:u w:color="000000"/>
          <w:rtl w:val="0"/>
          <w:lang w:val="en-US"/>
        </w:rPr>
        <w:t>w</w:t>
      </w:r>
      <w:r>
        <w:rPr>
          <w:rFonts w:ascii="Arial" w:hAnsi="Arial"/>
          <w:u w:color="000000"/>
          <w:rtl w:val="0"/>
          <w:lang w:val="en-US"/>
        </w:rPr>
        <w:t xml:space="preserve">ork. The </w:t>
      </w:r>
      <w:r>
        <w:rPr>
          <w:rFonts w:ascii="Arial" w:hAnsi="Arial"/>
          <w:u w:color="000000"/>
          <w:rtl w:val="0"/>
          <w:lang w:val="en-US"/>
        </w:rPr>
        <w:t>g</w:t>
      </w:r>
      <w:r>
        <w:rPr>
          <w:rFonts w:ascii="Arial" w:hAnsi="Arial"/>
          <w:u w:color="000000"/>
          <w:rtl w:val="0"/>
          <w:lang w:val="en-US"/>
        </w:rPr>
        <w:t>overnment</w:t>
      </w:r>
      <w:r>
        <w:rPr>
          <w:rFonts w:ascii="Arial" w:hAnsi="Arial" w:hint="default"/>
          <w:u w:color="000000"/>
          <w:rtl w:val="0"/>
          <w:lang w:val="en-US"/>
        </w:rPr>
        <w:t>’</w:t>
      </w:r>
      <w:r>
        <w:rPr>
          <w:rFonts w:ascii="Arial" w:hAnsi="Arial"/>
          <w:u w:color="000000"/>
          <w:rtl w:val="0"/>
          <w:lang w:val="en-US"/>
        </w:rPr>
        <w:t xml:space="preserve">s guidance to support implementation of </w:t>
      </w:r>
      <w:r>
        <w:rPr>
          <w:rFonts w:ascii="Arial" w:hAnsi="Arial"/>
          <w:u w:color="000000"/>
          <w:rtl w:val="0"/>
          <w:lang w:val="en-US"/>
        </w:rPr>
        <w:t>f</w:t>
      </w:r>
      <w:r>
        <w:rPr>
          <w:rFonts w:ascii="Arial" w:hAnsi="Arial"/>
          <w:u w:color="000000"/>
          <w:rtl w:val="0"/>
          <w:lang w:val="en-US"/>
        </w:rPr>
        <w:t xml:space="preserve">air work states: </w:t>
      </w:r>
      <w:r>
        <w:rPr>
          <w:rFonts w:ascii="Arial" w:hAnsi="Arial" w:hint="default"/>
          <w:u w:color="000000"/>
          <w:rtl w:val="0"/>
          <w:lang w:val="en-US"/>
        </w:rPr>
        <w:t>“</w:t>
      </w:r>
      <w:r>
        <w:rPr>
          <w:rFonts w:ascii="Arial" w:hAnsi="Arial"/>
          <w:i w:val="1"/>
          <w:iCs w:val="1"/>
          <w:u w:color="000000"/>
          <w:rtl w:val="0"/>
          <w:lang w:val="en-US"/>
        </w:rPr>
        <w:t>Fair Work expects employers to go beyond their legal obligations under the Equality Act 2010, enhancing the protections for workers on the basis of their age, disability, gender reassignment, marriage and civil partnership, pregnancy and maternity, race, religion and belief, sex, and, sexual orientation.</w:t>
      </w:r>
      <w:r>
        <w:rPr>
          <w:rFonts w:ascii="Arial" w:hAnsi="Arial" w:hint="default"/>
          <w:i w:val="1"/>
          <w:iCs w:val="1"/>
          <w:u w:color="000000"/>
          <w:rtl w:val="0"/>
          <w:lang w:val="en-US"/>
        </w:rPr>
        <w:t>”</w:t>
      </w:r>
      <w:r>
        <w:rPr>
          <w:rFonts w:ascii="Arial" w:hAnsi="Arial"/>
          <w:u w:color="000000"/>
          <w:rtl w:val="0"/>
          <w:lang w:val="en-US"/>
        </w:rPr>
        <w:t xml:space="preserve"> </w:t>
      </w:r>
    </w:p>
    <w:p>
      <w:pPr>
        <w:pStyle w:val="Body"/>
        <w:bidi w:val="0"/>
        <w:spacing w:after="160" w:line="259" w:lineRule="auto"/>
        <w:ind w:left="0" w:right="0" w:firstLine="0"/>
        <w:jc w:val="left"/>
        <w:rPr>
          <w:rFonts w:ascii="Arial" w:cs="Arial" w:hAnsi="Arial" w:eastAsia="Arial"/>
          <w:u w:color="000000"/>
          <w:rtl w:val="0"/>
          <w:lang w:val="en-US"/>
        </w:rPr>
      </w:pPr>
      <w:r>
        <w:rPr>
          <w:rFonts w:ascii="Arial" w:hAnsi="Arial"/>
          <w:u w:color="000000"/>
          <w:rtl w:val="0"/>
          <w:lang w:val="en-US"/>
        </w:rPr>
        <w:t>Contents:</w:t>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"GenderPayGap"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Gender Pay Gap</w:t>
      </w:r>
      <w:r>
        <w:rPr>
          <w:rFonts w:ascii="Arial" w:cs="Arial" w:hAnsi="Arial" w:eastAsia="Arial"/>
          <w:u w:color="000000"/>
          <w:rtl w:val="0"/>
        </w:rPr>
        <w:fldChar w:fldCharType="end" w:fldLock="0"/>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"RacialInequality"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Racial Inequality</w:t>
      </w:r>
      <w:r>
        <w:rPr>
          <w:rFonts w:ascii="Arial" w:cs="Arial" w:hAnsi="Arial" w:eastAsia="Arial"/>
          <w:u w:color="000000"/>
          <w:rtl w:val="0"/>
        </w:rPr>
        <w:fldChar w:fldCharType="end" w:fldLock="0"/>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"Disability"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Disability</w:t>
      </w:r>
      <w:r>
        <w:rPr>
          <w:rFonts w:ascii="Arial" w:cs="Arial" w:hAnsi="Arial" w:eastAsia="Arial"/>
          <w:u w:color="000000"/>
          <w:rtl w:val="0"/>
        </w:rPr>
        <w:fldChar w:fldCharType="end" w:fldLock="0"/>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"Recommendations"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Recommendations</w:t>
      </w:r>
      <w:r>
        <w:rPr>
          <w:rFonts w:ascii="Arial" w:cs="Arial" w:hAnsi="Arial" w:eastAsia="Arial"/>
          <w:u w:color="000000"/>
          <w:rtl w:val="0"/>
        </w:rPr>
        <w:fldChar w:fldCharType="end" w:fldLock="0"/>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"BeyondProtectedCharacteristics"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Beyond Protected Characteristics</w:t>
      </w:r>
      <w:r>
        <w:rPr>
          <w:rFonts w:ascii="Arial" w:cs="Arial" w:hAnsi="Arial" w:eastAsia="Arial"/>
          <w:u w:color="000000"/>
          <w:rtl w:val="0"/>
        </w:rPr>
        <w:fldChar w:fldCharType="end" w:fldLock="0"/>
      </w:r>
    </w:p>
    <w:p>
      <w:pPr>
        <w:pStyle w:val="Body"/>
        <w:numPr>
          <w:ilvl w:val="0"/>
          <w:numId w:val="1"/>
        </w:numPr>
        <w:bidi w:val="0"/>
        <w:spacing w:after="160" w:line="259" w:lineRule="auto"/>
        <w:ind w:right="0"/>
        <w:jc w:val="left"/>
        <w:rPr>
          <w:rFonts w:ascii="Arial" w:cs="Arial" w:hAnsi="Arial" w:eastAsia="Arial"/>
          <w:u w:color="000000"/>
          <w:rtl w:val="0"/>
        </w:rPr>
      </w:pPr>
      <w:r>
        <w:rPr>
          <w:rStyle w:val="Hyperlink.0"/>
          <w:rFonts w:ascii="Arial" w:cs="Arial" w:hAnsi="Arial" w:eastAsia="Arial"/>
          <w:u w:color="000000"/>
          <w:rtl w:val="0"/>
        </w:rPr>
        <w:fldChar w:fldCharType="begin" w:fldLock="0"/>
      </w:r>
      <w:r>
        <w:rPr>
          <w:rStyle w:val="Hyperlink.0"/>
          <w:rFonts w:ascii="Arial" w:cs="Arial" w:hAnsi="Arial" w:eastAsia="Arial"/>
          <w:u w:color="000000"/>
          <w:rtl w:val="0"/>
        </w:rPr>
        <w:instrText xml:space="preserve"> HYPERLINK \l "FurtherReading" </w:instrText>
      </w:r>
      <w:r>
        <w:rPr>
          <w:rStyle w:val="Hyperlink.0"/>
          <w:rFonts w:ascii="Arial" w:cs="Arial" w:hAnsi="Arial" w:eastAsia="Arial"/>
          <w:u w:color="000000"/>
          <w:rtl w:val="0"/>
        </w:rPr>
        <w:fldChar w:fldCharType="separate" w:fldLock="0"/>
      </w:r>
      <w:r>
        <w:rPr>
          <w:rStyle w:val="Hyperlink.0"/>
          <w:rFonts w:ascii="Arial" w:hAnsi="Arial"/>
          <w:u w:color="000000"/>
          <w:rtl w:val="0"/>
          <w:lang w:val="en-US"/>
        </w:rPr>
        <w:t>Further Reading</w:t>
      </w:r>
      <w:r>
        <w:rPr>
          <w:rFonts w:ascii="Arial" w:cs="Arial" w:hAnsi="Arial" w:eastAsia="Arial"/>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bookmarkStart w:name="GenderPayGap" w:id="0"/>
      <w:r>
        <w:rPr>
          <w:rFonts w:ascii="Arial" w:hAnsi="Arial"/>
          <w:b w:val="1"/>
          <w:bCs w:val="1"/>
          <w:u w:color="000000"/>
          <w:rtl w:val="0"/>
          <w:lang w:val="en-US"/>
        </w:rPr>
        <w:t>Gender Pay Gap</w:t>
      </w:r>
      <w:bookmarkEnd w:id="0"/>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The gender pay gap exists because women earn significantly less than men over their careers. As women are still regarded as the primary care giver, their work choices can be limited to typically lower-paid and part-time roles. This also limits their opportunities to progress in the same way men can, which dilutes diversity at senior management levels.</w:t>
      </w:r>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The Close your pay gap toolkit provides a range of guidance and advice to help employers calculate their gender pay gap and identify actions to reduce it.  </w:t>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"https://www.closeyourpaygap.org.uk/"</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https://www.closeyourpaygap.org.uk/</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bookmarkStart w:name="RacialInequality" w:id="1"/>
      <w:r>
        <w:rPr>
          <w:rFonts w:ascii="Arial" w:hAnsi="Arial"/>
          <w:b w:val="1"/>
          <w:bCs w:val="1"/>
          <w:u w:color="000000"/>
          <w:rtl w:val="0"/>
          <w:lang w:val="en-US"/>
        </w:rPr>
        <w:t>Racial Inequality</w:t>
      </w:r>
      <w:bookmarkEnd w:id="1"/>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Employment can play a major part in addressing racial inequality. The gap in employment rate for the minority ethnic population in Scotland is consistently and persistently high. Through fair working practice, minority ethnic workers will be able to access and sustain employment commensurate with their skills, experience and/or employment goals and in working environments that are diverse and inclusive. </w:t>
      </w:r>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Employers should use the Minority Ethnic Recruitment Toolkit to improve the diversity of their workforce by recruiting more people from minority ethnic backgrounds.</w:t>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"https://www.gov.scot/publications/minority-ethnic-recruitment-toolkit/"</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https://www.gov.scot/publications/minority-ethnic-recruitment-toolkit/</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bookmarkStart w:name="Disability" w:id="2"/>
      <w:r>
        <w:rPr>
          <w:rFonts w:ascii="Arial" w:hAnsi="Arial"/>
          <w:b w:val="1"/>
          <w:bCs w:val="1"/>
          <w:u w:color="000000"/>
          <w:rtl w:val="0"/>
          <w:lang w:val="en-US"/>
        </w:rPr>
        <w:t>Disability</w:t>
      </w:r>
      <w:bookmarkEnd w:id="2"/>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Disabled people also experience discrimination and a lack of access to opportunity. We need to ensure our workplaces are not designed or operating in ways that can create barriers and exclude disabled people.  Fair and equal access, and the provision of appropriate support, can greatly improve disabled people's chances, enabling access to jobs, job retention and career progression. </w:t>
      </w:r>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Information about employment issues for disabled people is available from Scottish Union of Supported Employment (SUSE).</w:t>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"https://www.suse.org.uk/"</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https://www.suse.org.uk/</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bookmarkStart w:name="Recommendations" w:id="3"/>
      <w:r>
        <w:rPr>
          <w:rFonts w:ascii="Arial" w:hAnsi="Arial"/>
          <w:b w:val="1"/>
          <w:bCs w:val="1"/>
          <w:u w:color="000000"/>
          <w:rtl w:val="0"/>
          <w:lang w:val="en-US"/>
        </w:rPr>
        <w:t>R</w:t>
      </w:r>
      <w:r>
        <w:rPr>
          <w:rFonts w:ascii="Arial" w:hAnsi="Arial"/>
          <w:b w:val="1"/>
          <w:bCs w:val="1"/>
          <w:u w:color="000000"/>
          <w:rtl w:val="0"/>
          <w:lang w:val="en-US"/>
        </w:rPr>
        <w:t>ecommendations</w:t>
      </w:r>
      <w:bookmarkEnd w:id="3"/>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The above provide practical steps towards improving EDI issues in relation to three protected characteristics. </w:t>
      </w:r>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Below are some further steps relating which can lead to improvements in relation to the other protected characteristics: </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Recruitment, retention and promotion processes prevent bias and barriers, e.g. 'blind' recruitment; providing any additional support/adjustments at interviews; diversity in interview panels; exit interviews are used to understand why a person is leaving.</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Workers have opportunities to influence the organisation's approach to workplace equality, including by sharing their own experiences.</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 xml:space="preserve">The organisation gathers data to understand its workforce diversity and has a plan in place to address under-representation. </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Refer to Stonewall</w:t>
      </w:r>
      <w:r>
        <w:rPr>
          <w:rFonts w:ascii="Arial" w:hAnsi="Arial" w:hint="default"/>
          <w:sz w:val="22"/>
          <w:szCs w:val="22"/>
          <w:u w:color="000000"/>
          <w:rtl w:val="0"/>
          <w:lang w:val="en-US"/>
        </w:rPr>
        <w:t>’</w:t>
      </w:r>
      <w:r>
        <w:rPr>
          <w:rFonts w:ascii="Arial" w:hAnsi="Arial"/>
          <w:sz w:val="22"/>
          <w:szCs w:val="22"/>
          <w:u w:color="000000"/>
          <w:rtl w:val="0"/>
          <w:lang w:val="en-US"/>
        </w:rPr>
        <w:t>s best practice toolkits and resources for improvements on LGBT+ inclusion</w:t>
      </w:r>
      <w:r>
        <w:rPr>
          <w:rFonts w:ascii="Arial" w:cs="Arial" w:hAnsi="Arial" w:eastAsia="Arial"/>
          <w:sz w:val="22"/>
          <w:szCs w:val="22"/>
          <w:u w:color="000000"/>
          <w:lang w:val="en-US"/>
        </w:rPr>
        <w:br w:type="textWrapping"/>
      </w:r>
      <w:r>
        <w:rPr>
          <w:rStyle w:val="Hyperlink.2"/>
          <w:rFonts w:ascii="Arial" w:cs="Arial" w:hAnsi="Arial" w:eastAsia="Arial"/>
          <w:outline w:val="0"/>
          <w:color w:val="0563c1"/>
          <w:sz w:val="22"/>
          <w:szCs w:val="22"/>
          <w:u w:color="0563c1"/>
          <w:lang w:val="en-US"/>
          <w14:textFill>
            <w14:solidFill>
              <w14:srgbClr w14:val="0563C1"/>
            </w14:solidFill>
          </w14:textFill>
        </w:rPr>
        <w:fldChar w:fldCharType="begin" w:fldLock="0"/>
      </w:r>
      <w:r>
        <w:rPr>
          <w:rStyle w:val="Hyperlink.2"/>
          <w:rFonts w:ascii="Arial" w:cs="Arial" w:hAnsi="Arial" w:eastAsia="Arial"/>
          <w:outline w:val="0"/>
          <w:color w:val="0563c1"/>
          <w:sz w:val="22"/>
          <w:szCs w:val="22"/>
          <w:u w:color="0563c1"/>
          <w:lang w:val="en-US"/>
          <w14:textFill>
            <w14:solidFill>
              <w14:srgbClr w14:val="0563C1"/>
            </w14:solidFill>
          </w14:textFill>
        </w:rPr>
        <w:instrText xml:space="preserve"> HYPERLINK "https://www.stonewall.org.uk/best-practice-toolkits-and-resources"</w:instrText>
      </w:r>
      <w:r>
        <w:rPr>
          <w:rStyle w:val="Hyperlink.2"/>
          <w:rFonts w:ascii="Arial" w:cs="Arial" w:hAnsi="Arial" w:eastAsia="Arial"/>
          <w:outline w:val="0"/>
          <w:color w:val="0563c1"/>
          <w:sz w:val="22"/>
          <w:szCs w:val="22"/>
          <w:u w:color="0563c1"/>
          <w:lang w:val="en-US"/>
          <w14:textFill>
            <w14:solidFill>
              <w14:srgbClr w14:val="0563C1"/>
            </w14:solidFill>
          </w14:textFill>
        </w:rPr>
        <w:fldChar w:fldCharType="separate" w:fldLock="0"/>
      </w:r>
      <w:r>
        <w:rPr>
          <w:rStyle w:val="Hyperlink.2"/>
          <w:rFonts w:ascii="Arial" w:hAnsi="Arial"/>
          <w:outline w:val="0"/>
          <w:color w:val="0563c1"/>
          <w:sz w:val="22"/>
          <w:szCs w:val="22"/>
          <w:u w:color="0563c1"/>
          <w:rtl w:val="0"/>
          <w:lang w:val="en-US"/>
          <w14:textFill>
            <w14:solidFill>
              <w14:srgbClr w14:val="0563C1"/>
            </w14:solidFill>
          </w14:textFill>
        </w:rPr>
        <w:t>https://www.stonewall.org.uk/best-practice-toolkits-and-resources</w:t>
      </w:r>
      <w:r>
        <w:rPr>
          <w:rFonts w:ascii="Arial" w:cs="Arial" w:hAnsi="Arial" w:eastAsia="Arial"/>
          <w:sz w:val="22"/>
          <w:szCs w:val="22"/>
          <w:u w:color="000000"/>
          <w:lang w:val="en-US"/>
        </w:rPr>
        <w:fldChar w:fldCharType="end" w:fldLock="0"/>
      </w:r>
      <w:r>
        <w:rPr>
          <w:rFonts w:ascii="Arial" w:hAnsi="Arial"/>
          <w:sz w:val="22"/>
          <w:szCs w:val="22"/>
          <w:u w:color="000000"/>
          <w:rtl w:val="0"/>
          <w:lang w:val="en-US"/>
        </w:rPr>
        <w:t xml:space="preserve"> </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Governance structures are gender balanced and the organisation is working to ensure parity for minority ethnic, disabled and younger people.</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Workplace adjustments are made for disabled staff who need it, e.g. Access to Work.</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Flexible working is encouraged across the organisation, subject to business need.</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 xml:space="preserve">Enhanced maternity, parental and adoption leave and pay are available for all staff, and staff are supported to return to work through keep in touch days and refresher courses. </w:t>
      </w:r>
      <w:r>
        <w:rPr>
          <w:rFonts w:ascii="Arial" w:cs="Arial" w:hAnsi="Arial" w:eastAsia="Arial"/>
          <w:sz w:val="22"/>
          <w:szCs w:val="22"/>
          <w:u w:color="000000"/>
          <w:lang w:val="en-US"/>
        </w:rPr>
        <w:br w:type="textWrapping"/>
      </w:r>
      <w:r>
        <w:rPr>
          <w:rStyle w:val="Hyperlink.2"/>
          <w:rFonts w:ascii="Arial" w:cs="Arial" w:hAnsi="Arial" w:eastAsia="Arial"/>
          <w:outline w:val="0"/>
          <w:color w:val="0563c1"/>
          <w:sz w:val="22"/>
          <w:szCs w:val="22"/>
          <w:u w:color="0563c1"/>
          <w:lang w:val="en-US"/>
          <w14:textFill>
            <w14:solidFill>
              <w14:srgbClr w14:val="0563C1"/>
            </w14:solidFill>
          </w14:textFill>
        </w:rPr>
        <w:fldChar w:fldCharType="begin" w:fldLock="0"/>
      </w:r>
      <w:r>
        <w:rPr>
          <w:rStyle w:val="Hyperlink.2"/>
          <w:rFonts w:ascii="Arial" w:cs="Arial" w:hAnsi="Arial" w:eastAsia="Arial"/>
          <w:outline w:val="0"/>
          <w:color w:val="0563c1"/>
          <w:sz w:val="22"/>
          <w:szCs w:val="22"/>
          <w:u w:color="0563c1"/>
          <w:lang w:val="en-US"/>
          <w14:textFill>
            <w14:solidFill>
              <w14:srgbClr w14:val="0563C1"/>
            </w14:solidFill>
          </w14:textFill>
        </w:rPr>
        <w:instrText xml:space="preserve"> HYPERLINK "https://www.equalityhumanrights.com/en/our-work/managing-pregnancy-and-maternity-workplace"</w:instrText>
      </w:r>
      <w:r>
        <w:rPr>
          <w:rStyle w:val="Hyperlink.2"/>
          <w:rFonts w:ascii="Arial" w:cs="Arial" w:hAnsi="Arial" w:eastAsia="Arial"/>
          <w:outline w:val="0"/>
          <w:color w:val="0563c1"/>
          <w:sz w:val="22"/>
          <w:szCs w:val="22"/>
          <w:u w:color="0563c1"/>
          <w:lang w:val="en-US"/>
          <w14:textFill>
            <w14:solidFill>
              <w14:srgbClr w14:val="0563C1"/>
            </w14:solidFill>
          </w14:textFill>
        </w:rPr>
        <w:fldChar w:fldCharType="separate" w:fldLock="0"/>
      </w:r>
      <w:r>
        <w:rPr>
          <w:rStyle w:val="Hyperlink.2"/>
          <w:rFonts w:ascii="Arial" w:hAnsi="Arial"/>
          <w:outline w:val="0"/>
          <w:color w:val="0563c1"/>
          <w:sz w:val="22"/>
          <w:szCs w:val="22"/>
          <w:u w:color="0563c1"/>
          <w:rtl w:val="0"/>
          <w:lang w:val="en-US"/>
          <w14:textFill>
            <w14:solidFill>
              <w14:srgbClr w14:val="0563C1"/>
            </w14:solidFill>
          </w14:textFill>
        </w:rPr>
        <w:t>https://www.equalityhumanrights.com/en/our-work/managing-pregnancy-and-maternity-workplace</w:t>
      </w:r>
      <w:r>
        <w:rPr>
          <w:rFonts w:ascii="Arial" w:cs="Arial" w:hAnsi="Arial" w:eastAsia="Arial"/>
          <w:sz w:val="22"/>
          <w:szCs w:val="22"/>
          <w:u w:color="000000"/>
          <w:lang w:val="en-US"/>
        </w:rPr>
        <w:fldChar w:fldCharType="end" w:fldLock="0"/>
      </w:r>
      <w:r>
        <w:rPr>
          <w:rFonts w:ascii="Arial" w:hAnsi="Arial"/>
          <w:sz w:val="22"/>
          <w:szCs w:val="22"/>
          <w:u w:color="000000"/>
          <w:rtl w:val="0"/>
          <w:lang w:val="en-US"/>
        </w:rPr>
        <w:t xml:space="preserve"> </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Everyone has equal access to appropriate learning &amp; development opportunities.</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All staff have opportunities to discuss their support needs with management.</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There are clear career pathways for women, with support for those returning to work after a career break and to help minority ethnic, disabled and older workers to progress.</w:t>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The organisation is a recognised Carer Positive employer.</w:t>
      </w:r>
      <w:r>
        <w:rPr>
          <w:rFonts w:ascii="Arial" w:cs="Arial" w:hAnsi="Arial" w:eastAsia="Arial"/>
          <w:sz w:val="22"/>
          <w:szCs w:val="22"/>
          <w:u w:color="000000"/>
          <w:lang w:val="en-US"/>
        </w:rPr>
        <w:br w:type="textWrapping"/>
      </w:r>
      <w:r>
        <w:rPr>
          <w:rStyle w:val="Hyperlink.2"/>
          <w:rFonts w:ascii="Arial" w:cs="Arial" w:hAnsi="Arial" w:eastAsia="Arial"/>
          <w:outline w:val="0"/>
          <w:color w:val="0563c1"/>
          <w:sz w:val="22"/>
          <w:szCs w:val="22"/>
          <w:u w:color="0563c1"/>
          <w:lang w:val="en-US"/>
          <w14:textFill>
            <w14:solidFill>
              <w14:srgbClr w14:val="0563C1"/>
            </w14:solidFill>
          </w14:textFill>
        </w:rPr>
        <w:fldChar w:fldCharType="begin" w:fldLock="0"/>
      </w:r>
      <w:r>
        <w:rPr>
          <w:rStyle w:val="Hyperlink.2"/>
          <w:rFonts w:ascii="Arial" w:cs="Arial" w:hAnsi="Arial" w:eastAsia="Arial"/>
          <w:outline w:val="0"/>
          <w:color w:val="0563c1"/>
          <w:sz w:val="22"/>
          <w:szCs w:val="22"/>
          <w:u w:color="0563c1"/>
          <w:lang w:val="en-US"/>
          <w14:textFill>
            <w14:solidFill>
              <w14:srgbClr w14:val="0563C1"/>
            </w14:solidFill>
          </w14:textFill>
        </w:rPr>
        <w:instrText xml:space="preserve"> HYPERLINK "https://www.carerpositive.org/about"</w:instrText>
      </w:r>
      <w:r>
        <w:rPr>
          <w:rStyle w:val="Hyperlink.2"/>
          <w:rFonts w:ascii="Arial" w:cs="Arial" w:hAnsi="Arial" w:eastAsia="Arial"/>
          <w:outline w:val="0"/>
          <w:color w:val="0563c1"/>
          <w:sz w:val="22"/>
          <w:szCs w:val="22"/>
          <w:u w:color="0563c1"/>
          <w:lang w:val="en-US"/>
          <w14:textFill>
            <w14:solidFill>
              <w14:srgbClr w14:val="0563C1"/>
            </w14:solidFill>
          </w14:textFill>
        </w:rPr>
        <w:fldChar w:fldCharType="separate" w:fldLock="0"/>
      </w:r>
      <w:r>
        <w:rPr>
          <w:rStyle w:val="Hyperlink.2"/>
          <w:rFonts w:ascii="Arial" w:hAnsi="Arial"/>
          <w:outline w:val="0"/>
          <w:color w:val="0563c1"/>
          <w:sz w:val="22"/>
          <w:szCs w:val="22"/>
          <w:u w:color="0563c1"/>
          <w:rtl w:val="0"/>
          <w:lang w:val="en-US"/>
          <w14:textFill>
            <w14:solidFill>
              <w14:srgbClr w14:val="0563C1"/>
            </w14:solidFill>
          </w14:textFill>
        </w:rPr>
        <w:t>https://www.carerpositive.org/about</w:t>
      </w:r>
      <w:r>
        <w:rPr>
          <w:rFonts w:ascii="Arial" w:cs="Arial" w:hAnsi="Arial" w:eastAsia="Arial"/>
          <w:sz w:val="22"/>
          <w:szCs w:val="22"/>
          <w:u w:color="000000"/>
          <w:lang w:val="en-US"/>
        </w:rPr>
        <w:fldChar w:fldCharType="end" w:fldLock="0"/>
      </w:r>
    </w:p>
    <w:p>
      <w:pPr>
        <w:pStyle w:val="Default"/>
        <w:numPr>
          <w:ilvl w:val="0"/>
          <w:numId w:val="3"/>
        </w:numPr>
        <w:spacing w:before="0" w:after="160" w:line="259" w:lineRule="auto"/>
        <w:jc w:val="left"/>
        <w:rPr>
          <w:rFonts w:ascii="Arial" w:hAnsi="Arial"/>
          <w:sz w:val="22"/>
          <w:szCs w:val="22"/>
          <w:u w:color="000000"/>
          <w:lang w:val="en-US"/>
        </w:rPr>
      </w:pPr>
      <w:r>
        <w:rPr>
          <w:rFonts w:ascii="Arial" w:hAnsi="Arial"/>
          <w:sz w:val="22"/>
          <w:szCs w:val="22"/>
          <w:u w:color="000000"/>
          <w:rtl w:val="0"/>
          <w:lang w:val="en-US"/>
        </w:rPr>
        <w:t>Employers are able to provide safe spaces for workers to express their concerns and raise issues and where workers are confident that their concerns are dealt with appropriately by trained personnel.</w:t>
      </w:r>
    </w:p>
    <w:p>
      <w:pPr>
        <w:pStyle w:val="Body"/>
        <w:bidi w:val="0"/>
        <w:spacing w:after="160" w:line="259" w:lineRule="auto"/>
        <w:ind w:left="0" w:right="0" w:firstLine="0"/>
        <w:jc w:val="left"/>
        <w:rPr>
          <w:rFonts w:ascii="Calibri" w:cs="Calibri" w:hAnsi="Calibri" w:eastAsia="Calibri"/>
          <w:u w:color="000000"/>
          <w:rtl w:val="0"/>
          <w:lang w:val="en-US"/>
        </w:rPr>
      </w:pPr>
    </w:p>
    <w:p>
      <w:pPr>
        <w:pStyle w:val="Body"/>
        <w:bidi w:val="0"/>
        <w:spacing w:after="160" w:line="259" w:lineRule="auto"/>
        <w:ind w:left="0" w:right="0" w:firstLine="0"/>
        <w:jc w:val="left"/>
        <w:rPr>
          <w:rFonts w:ascii="Arial" w:cs="Arial" w:hAnsi="Arial" w:eastAsia="Arial"/>
          <w:b w:val="1"/>
          <w:bCs w:val="1"/>
          <w:u w:color="000000"/>
          <w:rtl w:val="0"/>
        </w:rPr>
      </w:pPr>
      <w:bookmarkStart w:name="BeyondProtectedCharacteristics" w:id="4"/>
      <w:r>
        <w:rPr>
          <w:rFonts w:ascii="Arial" w:hAnsi="Arial"/>
          <w:b w:val="1"/>
          <w:bCs w:val="1"/>
          <w:u w:color="000000"/>
          <w:rtl w:val="0"/>
          <w:lang w:val="en-US"/>
        </w:rPr>
        <w:t>Beyond Protected Characteristics</w:t>
      </w:r>
      <w:bookmarkEnd w:id="4"/>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 xml:space="preserve">Protected characteristics are not an exhaustive list of characteristics that can act as barriers. Characteristics such as: </w:t>
      </w:r>
      <w:r>
        <w:rPr>
          <w:rFonts w:ascii="Arial" w:hAnsi="Arial"/>
          <w:u w:color="000000"/>
          <w:rtl w:val="0"/>
          <w:lang w:val="en-US"/>
        </w:rPr>
        <w:t>c</w:t>
      </w:r>
      <w:r>
        <w:rPr>
          <w:rFonts w:ascii="Arial" w:hAnsi="Arial"/>
          <w:u w:color="000000"/>
          <w:rtl w:val="0"/>
          <w:lang w:val="en-US"/>
        </w:rPr>
        <w:t xml:space="preserve">aring </w:t>
      </w:r>
      <w:r>
        <w:rPr>
          <w:rFonts w:ascii="Arial" w:hAnsi="Arial"/>
          <w:u w:color="000000"/>
          <w:rtl w:val="0"/>
          <w:lang w:val="en-US"/>
        </w:rPr>
        <w:t>r</w:t>
      </w:r>
      <w:r>
        <w:rPr>
          <w:rFonts w:ascii="Arial" w:hAnsi="Arial"/>
          <w:u w:color="000000"/>
          <w:rtl w:val="0"/>
          <w:lang w:val="en-US"/>
        </w:rPr>
        <w:t xml:space="preserve">esponsibilities, </w:t>
      </w:r>
      <w:r>
        <w:rPr>
          <w:rFonts w:ascii="Arial" w:hAnsi="Arial"/>
          <w:u w:color="000000"/>
          <w:rtl w:val="0"/>
          <w:lang w:val="en-US"/>
        </w:rPr>
        <w:t>n</w:t>
      </w:r>
      <w:r>
        <w:rPr>
          <w:rFonts w:ascii="Arial" w:hAnsi="Arial"/>
          <w:u w:color="000000"/>
          <w:rtl w:val="0"/>
          <w:lang w:val="en-US"/>
        </w:rPr>
        <w:t xml:space="preserve">eurodiversity, </w:t>
      </w:r>
      <w:r>
        <w:rPr>
          <w:rFonts w:ascii="Arial" w:hAnsi="Arial"/>
          <w:u w:color="000000"/>
          <w:rtl w:val="0"/>
          <w:lang w:val="en-US"/>
        </w:rPr>
        <w:t>s</w:t>
      </w:r>
      <w:r>
        <w:rPr>
          <w:rFonts w:ascii="Arial" w:hAnsi="Arial"/>
          <w:u w:color="000000"/>
          <w:rtl w:val="0"/>
          <w:lang w:val="en-US"/>
        </w:rPr>
        <w:t xml:space="preserve">ocioeconomic </w:t>
      </w:r>
      <w:r>
        <w:rPr>
          <w:rFonts w:ascii="Arial" w:hAnsi="Arial"/>
          <w:u w:color="000000"/>
          <w:rtl w:val="0"/>
          <w:lang w:val="en-US"/>
        </w:rPr>
        <w:t>b</w:t>
      </w:r>
      <w:r>
        <w:rPr>
          <w:rFonts w:ascii="Arial" w:hAnsi="Arial"/>
          <w:u w:color="000000"/>
          <w:rtl w:val="0"/>
          <w:lang w:val="en-US"/>
        </w:rPr>
        <w:t xml:space="preserve">ackground and </w:t>
      </w:r>
      <w:r>
        <w:rPr>
          <w:rFonts w:ascii="Arial" w:hAnsi="Arial"/>
          <w:u w:color="000000"/>
          <w:rtl w:val="0"/>
          <w:lang w:val="en-US"/>
        </w:rPr>
        <w:t>m</w:t>
      </w:r>
      <w:r>
        <w:rPr>
          <w:rFonts w:ascii="Arial" w:hAnsi="Arial"/>
          <w:u w:color="000000"/>
          <w:rtl w:val="0"/>
          <w:lang w:val="en-US"/>
        </w:rPr>
        <w:t xml:space="preserve">ental </w:t>
      </w:r>
      <w:r>
        <w:rPr>
          <w:rFonts w:ascii="Arial" w:hAnsi="Arial"/>
          <w:u w:color="000000"/>
          <w:rtl w:val="0"/>
          <w:lang w:val="en-US"/>
        </w:rPr>
        <w:t>h</w:t>
      </w:r>
      <w:r>
        <w:rPr>
          <w:rFonts w:ascii="Arial" w:hAnsi="Arial"/>
          <w:u w:color="000000"/>
          <w:rtl w:val="0"/>
          <w:lang w:val="en-US"/>
        </w:rPr>
        <w:t xml:space="preserve">ealth are just a few additional examples. </w:t>
      </w:r>
    </w:p>
    <w:p>
      <w:pPr>
        <w:pStyle w:val="Body"/>
        <w:bidi w:val="0"/>
        <w:spacing w:after="160" w:line="259" w:lineRule="auto"/>
        <w:ind w:left="0" w:right="0" w:firstLine="0"/>
        <w:jc w:val="left"/>
        <w:rPr>
          <w:rFonts w:ascii="Arial" w:cs="Arial" w:hAnsi="Arial" w:eastAsia="Arial"/>
          <w:u w:color="000000"/>
          <w:rtl w:val="0"/>
        </w:rPr>
      </w:pPr>
      <w:r>
        <w:rPr>
          <w:rFonts w:ascii="Arial" w:hAnsi="Arial"/>
          <w:u w:color="000000"/>
          <w:rtl w:val="0"/>
          <w:lang w:val="en-US"/>
        </w:rPr>
        <w:t>Those characteristics should also be considered when looking to implement the above.</w:t>
      </w:r>
    </w:p>
    <w:p>
      <w:pPr>
        <w:pStyle w:val="Body"/>
        <w:bidi w:val="0"/>
        <w:spacing w:after="160" w:line="259" w:lineRule="auto"/>
        <w:ind w:left="0" w:right="0" w:firstLine="0"/>
        <w:jc w:val="left"/>
        <w:rPr>
          <w:rFonts w:ascii="Arial" w:cs="Arial" w:hAnsi="Arial" w:eastAsia="Arial"/>
          <w:u w:color="000000"/>
          <w:rtl w:val="0"/>
          <w:lang w:val="en-US"/>
        </w:rPr>
      </w:pPr>
    </w:p>
    <w:p>
      <w:pPr>
        <w:pStyle w:val="Body"/>
        <w:bidi w:val="0"/>
        <w:spacing w:after="160" w:line="259" w:lineRule="auto"/>
        <w:ind w:left="0" w:right="0" w:firstLine="0"/>
        <w:jc w:val="left"/>
        <w:rPr>
          <w:rFonts w:ascii="Arial" w:cs="Arial" w:hAnsi="Arial" w:eastAsia="Arial"/>
          <w:u w:color="000000"/>
          <w:rtl w:val="0"/>
        </w:rPr>
      </w:pPr>
    </w:p>
    <w:p>
      <w:pPr>
        <w:pStyle w:val="Body"/>
        <w:bidi w:val="0"/>
        <w:spacing w:after="160" w:line="259" w:lineRule="auto"/>
        <w:ind w:left="0" w:right="0" w:firstLine="0"/>
        <w:jc w:val="left"/>
        <w:rPr>
          <w:rFonts w:ascii="Arial" w:cs="Arial" w:hAnsi="Arial" w:eastAsia="Arial"/>
          <w:b w:val="1"/>
          <w:bCs w:val="1"/>
          <w:u w:color="000000"/>
          <w:rtl w:val="0"/>
        </w:rPr>
      </w:pPr>
      <w:bookmarkStart w:name="FurtherReading" w:id="5"/>
      <w:r>
        <w:rPr>
          <w:rFonts w:ascii="Arial" w:hAnsi="Arial"/>
          <w:b w:val="1"/>
          <w:bCs w:val="1"/>
          <w:u w:color="000000"/>
          <w:rtl w:val="0"/>
          <w:lang w:val="en-US"/>
        </w:rPr>
        <w:t>Further Reading</w:t>
      </w:r>
      <w:bookmarkEnd w:id="5"/>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"https://www.closeyourpaygap.org.uk/"</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https://www.closeyourpaygap.org.uk/</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"https://www.gov.scot/publications/minority-ethnic-recruitment-toolkit/"</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https://www.gov.scot/publications/minority-ethnic-recruitment-toolkit/</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"https://www.suse.org.uk/"</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https://www.suse.org.uk/</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"https://www.stonewall.org.uk/best-practice-toolkits-and-resources"</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https://www.stonewall.org.uk/best-practice-toolkits-and-resources</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"https://www.equalityhumanrights.com/en/our-work/managing-pregnancy-and-maternity-workplace"</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https://www.equalityhumanrights.com/en/our-work/managing-pregnancy-and-maternity-workplace</w:t>
      </w:r>
      <w:r>
        <w:rPr>
          <w:rFonts w:ascii="Calibri" w:cs="Calibri" w:hAnsi="Calibri" w:eastAsia="Calibri"/>
          <w:u w:color="000000"/>
          <w:rtl w:val="0"/>
        </w:rPr>
        <w:fldChar w:fldCharType="end" w:fldLock="0"/>
      </w:r>
      <w:r>
        <w:rPr>
          <w:rFonts w:ascii="Arial" w:hAnsi="Arial"/>
          <w:u w:color="000000"/>
          <w:rtl w:val="0"/>
          <w:lang w:val="en-US"/>
        </w:rPr>
        <w:t xml:space="preserve"> </w:t>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"https://www.carerpositive.org/about"</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https://www.carerpositive.org/about</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"https://www.kcl.ac.uk/cultural/projects/creative-majority"</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https://www.kcl.ac.uk/cultural/projects/creative-majority</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"https://www.gov.scot/publications/trauma-informed-practice-toolkit-scotland/"</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https://www.gov.scot/publications/trauma-informed-practice-toolkit-scotland/</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"https://umusic.co.uk/Creative-Differences-Handbook.pdf"</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https://umusic.co.uk/Creative-Differences-Handbook.pdf</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"https://incarts.uk/unlock"</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https://incarts.uk/unlock</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Fonts w:ascii="Arial" w:cs="Arial" w:hAnsi="Arial" w:eastAsia="Arial"/>
          <w:u w:color="000000"/>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"https://www.gov.scot/publications/fairer-scotland-disabled-people-delivery-plan-2021-united-nations-convention/"</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https://www.gov.scot/publications/fairer-scotland-disabled-people-delivery-plan-2021-united-nations-convention/</w:t>
      </w:r>
      <w:r>
        <w:rPr>
          <w:rFonts w:ascii="Calibri" w:cs="Calibri" w:hAnsi="Calibri" w:eastAsia="Calibri"/>
          <w:u w:color="000000"/>
          <w:rtl w:val="0"/>
        </w:rPr>
        <w:fldChar w:fldCharType="end" w:fldLock="0"/>
      </w:r>
    </w:p>
    <w:p>
      <w:pPr>
        <w:pStyle w:val="Body"/>
        <w:bidi w:val="0"/>
        <w:spacing w:after="160" w:line="259" w:lineRule="auto"/>
        <w:ind w:left="0" w:right="0" w:firstLine="0"/>
        <w:jc w:val="left"/>
        <w:rPr>
          <w:rtl w:val="0"/>
        </w:rPr>
      </w:pPr>
      <w:r>
        <w:rPr>
          <w:rStyle w:val="Hyperlink.1"/>
          <w:rFonts w:ascii="Arial" w:cs="Arial" w:hAnsi="Arial" w:eastAsia="Arial"/>
          <w:outline w:val="0"/>
          <w:color w:val="0563c1"/>
          <w:u w:color="0563c1"/>
          <w:rtl w:val="0"/>
          <w:lang w:val="en-US"/>
          <w14:textFill>
            <w14:solidFill>
              <w14:srgbClr w14:val="0563C1"/>
            </w14:solidFill>
          </w14:textFill>
        </w:rPr>
        <w:fldChar w:fldCharType="begin" w:fldLock="0"/>
      </w:r>
      <w:r>
        <w:rPr>
          <w:rStyle w:val="Hyperlink.1"/>
          <w:rFonts w:ascii="Arial" w:cs="Arial" w:hAnsi="Arial" w:eastAsia="Arial"/>
          <w:outline w:val="0"/>
          <w:color w:val="0563c1"/>
          <w:u w:color="0563c1"/>
          <w:rtl w:val="0"/>
          <w:lang w:val="en-US"/>
          <w14:textFill>
            <w14:solidFill>
              <w14:srgbClr w14:val="0563C1"/>
            </w14:solidFill>
          </w14:textFill>
        </w:rPr>
        <w:instrText xml:space="preserve"> HYPERLINK "https://www.gov.scot/publications/fair-work-first-guidance-support-implementation/pages/4/"</w:instrText>
      </w:r>
      <w:r>
        <w:rPr>
          <w:rStyle w:val="Hyperlink.1"/>
          <w:rFonts w:ascii="Arial" w:cs="Arial" w:hAnsi="Arial" w:eastAsia="Arial"/>
          <w:outline w:val="0"/>
          <w:color w:val="0563c1"/>
          <w:u w:color="0563c1"/>
          <w:rtl w:val="0"/>
          <w:lang w:val="en-US"/>
          <w14:textFill>
            <w14:solidFill>
              <w14:srgbClr w14:val="0563C1"/>
            </w14:solidFill>
          </w14:textFill>
        </w:rPr>
        <w:fldChar w:fldCharType="separate" w:fldLock="0"/>
      </w:r>
      <w:r>
        <w:rPr>
          <w:rStyle w:val="Hyperlink.1"/>
          <w:rFonts w:ascii="Arial" w:hAnsi="Arial"/>
          <w:outline w:val="0"/>
          <w:color w:val="0563c1"/>
          <w:u w:color="0563c1"/>
          <w:rtl w:val="0"/>
          <w:lang w:val="en-US"/>
          <w14:textFill>
            <w14:solidFill>
              <w14:srgbClr w14:val="0563C1"/>
            </w14:solidFill>
          </w14:textFill>
        </w:rPr>
        <w:t>https://www.gov.scot/publications/fair-work-first-guidance-support-implementation/pages/4/</w:t>
      </w:r>
      <w:r>
        <w:rPr>
          <w:rFonts w:ascii="Calibri" w:cs="Calibri" w:hAnsi="Calibri" w:eastAsia="Calibri"/>
          <w:u w:color="000000"/>
          <w:rtl w:val="0"/>
        </w:rPr>
        <w:fldChar w:fldCharType="end" w:fldLock="0"/>
      </w:r>
      <w:r>
        <w:rPr>
          <w:rFonts w:ascii="Arial" w:hAnsi="Arial"/>
          <w:u w:color="000000"/>
          <w:rtl w:val="0"/>
          <w:lang w:val="en-US"/>
        </w:rPr>
        <w:t xml:space="preserve"> </w:t>
        <w:br w:type="textWrapping"/>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July 22</w:t>
    </w:r>
    <w:r>
      <w:tab/>
    </w:r>
    <w:r>
      <w:rPr>
        <w:rtl w:val="0"/>
        <w:lang w:val="en-US"/>
      </w:rPr>
      <w:t>culturecounts.scot</w:t>
    </w: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rFonts w:ascii="Arial" w:cs="Arial" w:hAnsi="Arial" w:eastAsia="Arial"/>
      <w:outline w:val="0"/>
      <w:color w:val="0563c1"/>
      <w:u w:color="0563c1"/>
      <w:lang w:val="en-US"/>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2"/>
      </w:numPr>
    </w:pPr>
  </w:style>
  <w:style w:type="character" w:styleId="Hyperlink.2">
    <w:name w:val="Hyperlink.2"/>
    <w:basedOn w:val="Hyperlink.0"/>
    <w:next w:val="Hyperlink.2"/>
    <w:rPr>
      <w:outline w:val="0"/>
      <w:color w:val="0563c1"/>
      <w:u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